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10C" w:rsidRPr="001774A0" w:rsidRDefault="001774A0" w:rsidP="001774A0">
      <w:pPr>
        <w:jc w:val="both"/>
        <w:rPr>
          <w:rFonts w:ascii="Georgia" w:hAnsi="Georgia" w:cs="Arial"/>
          <w:b/>
          <w:color w:val="000000"/>
          <w:sz w:val="24"/>
          <w:szCs w:val="24"/>
        </w:rPr>
      </w:pPr>
      <w:proofErr w:type="spellStart"/>
      <w:r w:rsidRPr="001774A0">
        <w:rPr>
          <w:rFonts w:ascii="Georgia" w:hAnsi="Georgia" w:cs="Arial"/>
          <w:b/>
          <w:color w:val="000000"/>
          <w:sz w:val="24"/>
          <w:szCs w:val="24"/>
        </w:rPr>
        <w:t>Rothko</w:t>
      </w:r>
      <w:proofErr w:type="spellEnd"/>
      <w:r w:rsidRPr="001774A0">
        <w:rPr>
          <w:rFonts w:ascii="Georgia" w:hAnsi="Georgia" w:cs="Arial"/>
          <w:b/>
          <w:color w:val="000000"/>
          <w:sz w:val="24"/>
          <w:szCs w:val="24"/>
        </w:rPr>
        <w:t xml:space="preserve">, </w:t>
      </w:r>
      <w:proofErr w:type="spellStart"/>
      <w:r w:rsidRPr="001774A0">
        <w:rPr>
          <w:rFonts w:ascii="Georgia" w:hAnsi="Georgia" w:cs="Arial"/>
          <w:b/>
          <w:color w:val="000000"/>
          <w:sz w:val="24"/>
          <w:szCs w:val="24"/>
        </w:rPr>
        <w:t>Pollock</w:t>
      </w:r>
      <w:proofErr w:type="spellEnd"/>
      <w:r w:rsidRPr="001774A0">
        <w:rPr>
          <w:rFonts w:ascii="Georgia" w:hAnsi="Georgia" w:cs="Arial"/>
          <w:b/>
          <w:color w:val="000000"/>
          <w:sz w:val="24"/>
          <w:szCs w:val="24"/>
        </w:rPr>
        <w:t xml:space="preserve">, </w:t>
      </w:r>
      <w:proofErr w:type="spellStart"/>
      <w:r w:rsidRPr="001774A0">
        <w:rPr>
          <w:rFonts w:ascii="Georgia" w:hAnsi="Georgia" w:cs="Arial"/>
          <w:b/>
          <w:color w:val="000000"/>
          <w:sz w:val="24"/>
          <w:szCs w:val="24"/>
        </w:rPr>
        <w:t>Tàpies</w:t>
      </w:r>
      <w:proofErr w:type="spellEnd"/>
      <w:r w:rsidRPr="001774A0">
        <w:rPr>
          <w:rFonts w:ascii="Georgia" w:hAnsi="Georgia" w:cs="Arial"/>
          <w:b/>
          <w:color w:val="000000"/>
          <w:sz w:val="24"/>
          <w:szCs w:val="24"/>
        </w:rPr>
        <w:t xml:space="preserve"> y otros maestros del abstracto, en el Guggenheim de Bilbao</w:t>
      </w:r>
    </w:p>
    <w:p w:rsidR="001774A0" w:rsidRPr="001774A0" w:rsidRDefault="001774A0" w:rsidP="001774A0">
      <w:pPr>
        <w:spacing w:before="100" w:beforeAutospacing="1" w:after="100" w:afterAutospacing="1" w:line="195" w:lineRule="atLeast"/>
        <w:jc w:val="both"/>
        <w:rPr>
          <w:rFonts w:ascii="Georgia" w:eastAsia="Times New Roman" w:hAnsi="Georgia" w:cs="Arial"/>
          <w:color w:val="000000"/>
          <w:sz w:val="24"/>
          <w:szCs w:val="24"/>
          <w:lang w:eastAsia="es-ES"/>
        </w:rPr>
      </w:pPr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 xml:space="preserve">El arte ya </w:t>
      </w:r>
      <w:r w:rsidRPr="001774A0">
        <w:rPr>
          <w:rFonts w:ascii="Georgia" w:eastAsia="Times New Roman" w:hAnsi="Georgia" w:cs="Arial"/>
          <w:b/>
          <w:bCs/>
          <w:color w:val="000000"/>
          <w:sz w:val="24"/>
          <w:szCs w:val="24"/>
          <w:lang w:eastAsia="es-ES"/>
        </w:rPr>
        <w:t>no tenía que ser armónico</w:t>
      </w:r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>, porque el mundo estaba lejos de la perfección.</w:t>
      </w:r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br/>
      </w:r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br/>
        <w:t xml:space="preserve">Acabada la II Guerra Mundial, la población no sabía reaccionar ante el descubrimiento de la maldad extrema. Los artistas europeos oscilaban entre ese trauma y </w:t>
      </w:r>
      <w:r w:rsidRPr="001774A0">
        <w:rPr>
          <w:rFonts w:ascii="Georgia" w:eastAsia="Times New Roman" w:hAnsi="Georgia" w:cs="Arial"/>
          <w:b/>
          <w:bCs/>
          <w:color w:val="000000"/>
          <w:sz w:val="24"/>
          <w:szCs w:val="24"/>
          <w:lang w:eastAsia="es-ES"/>
        </w:rPr>
        <w:t>la filosofía existencialista</w:t>
      </w:r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 xml:space="preserve"> de las obras de Albert Camus y Jean-Paul Sartre.</w:t>
      </w:r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br/>
      </w:r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br/>
        <w:t xml:space="preserve">El absurdo, la desesperación, la angustia, la </w:t>
      </w:r>
      <w:proofErr w:type="spellStart"/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>resposabilidad</w:t>
      </w:r>
      <w:proofErr w:type="spellEnd"/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 xml:space="preserve"> absoluta del ser humano sobre sus actos, la reacción contra la filosofía tradicional... La pintura ya no era el experimento y los valores utópicos de las vanguardias anteriores a la guerra.</w:t>
      </w:r>
    </w:p>
    <w:p w:rsidR="001774A0" w:rsidRPr="001774A0" w:rsidRDefault="001774A0" w:rsidP="001774A0">
      <w:pPr>
        <w:spacing w:before="100" w:beforeAutospacing="1" w:after="100" w:afterAutospacing="1" w:line="195" w:lineRule="atLeast"/>
        <w:jc w:val="both"/>
        <w:outlineLvl w:val="2"/>
        <w:rPr>
          <w:rFonts w:ascii="Georgia" w:eastAsia="Times New Roman" w:hAnsi="Georgia" w:cs="Arial"/>
          <w:b/>
          <w:bCs/>
          <w:color w:val="000000"/>
          <w:sz w:val="24"/>
          <w:szCs w:val="24"/>
          <w:lang w:eastAsia="es-ES"/>
        </w:rPr>
      </w:pPr>
      <w:r w:rsidRPr="001774A0">
        <w:rPr>
          <w:rFonts w:ascii="Georgia" w:eastAsia="Times New Roman" w:hAnsi="Georgia" w:cs="Arial"/>
          <w:b/>
          <w:bCs/>
          <w:color w:val="000000"/>
          <w:sz w:val="24"/>
          <w:szCs w:val="24"/>
          <w:lang w:eastAsia="es-ES"/>
        </w:rPr>
        <w:t>Liberación política y retrato del subconsciente</w:t>
      </w:r>
    </w:p>
    <w:p w:rsidR="001774A0" w:rsidRPr="001774A0" w:rsidRDefault="001774A0" w:rsidP="001774A0">
      <w:pPr>
        <w:spacing w:before="100" w:beforeAutospacing="1" w:after="100" w:afterAutospacing="1" w:line="195" w:lineRule="atLeast"/>
        <w:jc w:val="both"/>
        <w:rPr>
          <w:rFonts w:ascii="Georgia" w:eastAsia="Times New Roman" w:hAnsi="Georgia" w:cs="Arial"/>
          <w:color w:val="000000"/>
          <w:sz w:val="24"/>
          <w:szCs w:val="24"/>
          <w:lang w:eastAsia="es-ES"/>
        </w:rPr>
      </w:pPr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 xml:space="preserve">El museo </w:t>
      </w:r>
      <w:hyperlink r:id="rId5" w:tgtFrame="_blank" w:history="1">
        <w:r w:rsidRPr="001774A0">
          <w:rPr>
            <w:rFonts w:ascii="Georgia" w:eastAsia="Times New Roman" w:hAnsi="Georgia" w:cs="Arial"/>
            <w:color w:val="004268"/>
            <w:sz w:val="24"/>
            <w:szCs w:val="24"/>
            <w:lang w:eastAsia="es-ES"/>
          </w:rPr>
          <w:t>Guggenheim de Bilbao</w:t>
        </w:r>
      </w:hyperlink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 xml:space="preserve"> inaugura </w:t>
      </w:r>
      <w:hyperlink r:id="rId6" w:tgtFrame="_blank" w:history="1">
        <w:r w:rsidRPr="001774A0">
          <w:rPr>
            <w:rFonts w:ascii="Georgia" w:eastAsia="Times New Roman" w:hAnsi="Georgia" w:cs="Arial"/>
            <w:i/>
            <w:iCs/>
            <w:color w:val="004268"/>
            <w:sz w:val="24"/>
            <w:szCs w:val="24"/>
            <w:lang w:eastAsia="es-ES"/>
          </w:rPr>
          <w:t>Abstracción pictórica, 1949–1969: Selecciones de las Colecciones Guggenheim</w:t>
        </w:r>
      </w:hyperlink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 xml:space="preserve">, una exposición que ahonda en el </w:t>
      </w:r>
      <w:r w:rsidRPr="001774A0">
        <w:rPr>
          <w:rFonts w:ascii="Georgia" w:eastAsia="Times New Roman" w:hAnsi="Georgia" w:cs="Arial"/>
          <w:b/>
          <w:bCs/>
          <w:color w:val="000000"/>
          <w:sz w:val="24"/>
          <w:szCs w:val="24"/>
          <w:lang w:eastAsia="es-ES"/>
        </w:rPr>
        <w:t>momento de esplendor de la obra abstracta</w:t>
      </w:r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 xml:space="preserve"> con cuadros de </w:t>
      </w:r>
      <w:hyperlink r:id="rId7" w:tgtFrame="_blank" w:history="1">
        <w:r w:rsidRPr="001774A0">
          <w:rPr>
            <w:rFonts w:ascii="Georgia" w:eastAsia="Times New Roman" w:hAnsi="Georgia" w:cs="Arial"/>
            <w:color w:val="004268"/>
            <w:sz w:val="24"/>
            <w:szCs w:val="24"/>
            <w:lang w:eastAsia="es-ES"/>
          </w:rPr>
          <w:t xml:space="preserve">Antoni </w:t>
        </w:r>
        <w:proofErr w:type="spellStart"/>
        <w:r w:rsidRPr="001774A0">
          <w:rPr>
            <w:rFonts w:ascii="Georgia" w:eastAsia="Times New Roman" w:hAnsi="Georgia" w:cs="Arial"/>
            <w:color w:val="004268"/>
            <w:sz w:val="24"/>
            <w:szCs w:val="24"/>
            <w:lang w:eastAsia="es-ES"/>
          </w:rPr>
          <w:t>Tàpies</w:t>
        </w:r>
        <w:proofErr w:type="spellEnd"/>
      </w:hyperlink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 xml:space="preserve">, </w:t>
      </w:r>
      <w:hyperlink r:id="rId8" w:tgtFrame="_blank" w:history="1">
        <w:r w:rsidRPr="001774A0">
          <w:rPr>
            <w:rFonts w:ascii="Georgia" w:eastAsia="Times New Roman" w:hAnsi="Georgia" w:cs="Arial"/>
            <w:color w:val="004268"/>
            <w:sz w:val="24"/>
            <w:szCs w:val="24"/>
            <w:lang w:eastAsia="es-ES"/>
          </w:rPr>
          <w:t xml:space="preserve">Jackson </w:t>
        </w:r>
        <w:proofErr w:type="spellStart"/>
        <w:r w:rsidRPr="001774A0">
          <w:rPr>
            <w:rFonts w:ascii="Georgia" w:eastAsia="Times New Roman" w:hAnsi="Georgia" w:cs="Arial"/>
            <w:color w:val="004268"/>
            <w:sz w:val="24"/>
            <w:szCs w:val="24"/>
            <w:lang w:eastAsia="es-ES"/>
          </w:rPr>
          <w:t>Pollock</w:t>
        </w:r>
        <w:proofErr w:type="spellEnd"/>
      </w:hyperlink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 xml:space="preserve">, </w:t>
      </w:r>
      <w:hyperlink r:id="rId9" w:tgtFrame="_blank" w:history="1">
        <w:r w:rsidRPr="001774A0">
          <w:rPr>
            <w:rFonts w:ascii="Georgia" w:eastAsia="Times New Roman" w:hAnsi="Georgia" w:cs="Arial"/>
            <w:color w:val="004268"/>
            <w:sz w:val="24"/>
            <w:szCs w:val="24"/>
            <w:lang w:eastAsia="es-ES"/>
          </w:rPr>
          <w:t>Frank Stella</w:t>
        </w:r>
      </w:hyperlink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 xml:space="preserve">, </w:t>
      </w:r>
      <w:hyperlink r:id="rId10" w:tgtFrame="_blank" w:history="1">
        <w:proofErr w:type="spellStart"/>
        <w:r w:rsidRPr="001774A0">
          <w:rPr>
            <w:rFonts w:ascii="Georgia" w:eastAsia="Times New Roman" w:hAnsi="Georgia" w:cs="Arial"/>
            <w:color w:val="004268"/>
            <w:sz w:val="24"/>
            <w:szCs w:val="24"/>
            <w:lang w:eastAsia="es-ES"/>
          </w:rPr>
          <w:t>Victor</w:t>
        </w:r>
        <w:proofErr w:type="spellEnd"/>
        <w:r w:rsidRPr="001774A0">
          <w:rPr>
            <w:rFonts w:ascii="Georgia" w:eastAsia="Times New Roman" w:hAnsi="Georgia" w:cs="Arial"/>
            <w:color w:val="004268"/>
            <w:sz w:val="24"/>
            <w:szCs w:val="24"/>
            <w:lang w:eastAsia="es-ES"/>
          </w:rPr>
          <w:t xml:space="preserve"> </w:t>
        </w:r>
        <w:proofErr w:type="spellStart"/>
        <w:r w:rsidRPr="001774A0">
          <w:rPr>
            <w:rFonts w:ascii="Georgia" w:eastAsia="Times New Roman" w:hAnsi="Georgia" w:cs="Arial"/>
            <w:color w:val="004268"/>
            <w:sz w:val="24"/>
            <w:szCs w:val="24"/>
            <w:lang w:eastAsia="es-ES"/>
          </w:rPr>
          <w:t>Vasarely</w:t>
        </w:r>
        <w:proofErr w:type="spellEnd"/>
      </w:hyperlink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 xml:space="preserve"> o </w:t>
      </w:r>
      <w:hyperlink r:id="rId11" w:tgtFrame="_blank" w:history="1">
        <w:r w:rsidRPr="001774A0">
          <w:rPr>
            <w:rFonts w:ascii="Georgia" w:eastAsia="Times New Roman" w:hAnsi="Georgia" w:cs="Arial"/>
            <w:color w:val="004268"/>
            <w:sz w:val="24"/>
            <w:szCs w:val="24"/>
            <w:lang w:eastAsia="es-ES"/>
          </w:rPr>
          <w:t xml:space="preserve">Mark </w:t>
        </w:r>
        <w:proofErr w:type="spellStart"/>
        <w:r w:rsidRPr="001774A0">
          <w:rPr>
            <w:rFonts w:ascii="Georgia" w:eastAsia="Times New Roman" w:hAnsi="Georgia" w:cs="Arial"/>
            <w:color w:val="004268"/>
            <w:sz w:val="24"/>
            <w:szCs w:val="24"/>
            <w:lang w:eastAsia="es-ES"/>
          </w:rPr>
          <w:t>Rothko</w:t>
        </w:r>
        <w:proofErr w:type="spellEnd"/>
      </w:hyperlink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>.</w:t>
      </w:r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br/>
      </w:r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br/>
        <w:t xml:space="preserve">En España o Europa del Este, la abstracción fue un símbolo de liberación política. En </w:t>
      </w:r>
      <w:proofErr w:type="spellStart"/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>europa</w:t>
      </w:r>
      <w:proofErr w:type="spellEnd"/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 xml:space="preserve">, </w:t>
      </w:r>
      <w:r w:rsidRPr="001774A0">
        <w:rPr>
          <w:rFonts w:ascii="Georgia" w:eastAsia="Times New Roman" w:hAnsi="Georgia" w:cs="Arial"/>
          <w:b/>
          <w:bCs/>
          <w:color w:val="000000"/>
          <w:sz w:val="24"/>
          <w:szCs w:val="24"/>
          <w:lang w:eastAsia="es-ES"/>
        </w:rPr>
        <w:t>un rechazo al humanismo</w:t>
      </w:r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>. En Estados Unidos nació el expresionismo abstracto, que tendía a representar el subconsciente y a enseñar sin disfraces las emociones del artista.</w:t>
      </w:r>
    </w:p>
    <w:p w:rsidR="001774A0" w:rsidRPr="001774A0" w:rsidRDefault="001774A0" w:rsidP="001774A0">
      <w:pPr>
        <w:spacing w:before="100" w:beforeAutospacing="1" w:after="100" w:afterAutospacing="1" w:line="195" w:lineRule="atLeast"/>
        <w:jc w:val="both"/>
        <w:rPr>
          <w:rFonts w:ascii="Georgia" w:eastAsia="Times New Roman" w:hAnsi="Georgia" w:cs="Arial"/>
          <w:color w:val="000000"/>
          <w:sz w:val="24"/>
          <w:szCs w:val="24"/>
          <w:lang w:eastAsia="es-ES"/>
        </w:rPr>
      </w:pPr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 xml:space="preserve">La muestra, con obras de la colección Guggenheim de Nueva York y Bilbao, destaca </w:t>
      </w:r>
      <w:r w:rsidRPr="001774A0">
        <w:rPr>
          <w:rFonts w:ascii="Georgia" w:eastAsia="Times New Roman" w:hAnsi="Georgia" w:cs="Arial"/>
          <w:b/>
          <w:bCs/>
          <w:color w:val="000000"/>
          <w:sz w:val="24"/>
          <w:szCs w:val="24"/>
          <w:lang w:eastAsia="es-ES"/>
        </w:rPr>
        <w:t>la afinidad</w:t>
      </w:r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 xml:space="preserve"> de estos artistas que crearon su obra durante el comienzo y el desarrollo de la Guerra Fría.</w:t>
      </w:r>
    </w:p>
    <w:p w:rsidR="001774A0" w:rsidRPr="001774A0" w:rsidRDefault="001774A0" w:rsidP="001774A0">
      <w:pPr>
        <w:spacing w:before="100" w:beforeAutospacing="1" w:after="100" w:afterAutospacing="1" w:line="195" w:lineRule="atLeast"/>
        <w:jc w:val="both"/>
        <w:rPr>
          <w:rFonts w:ascii="Georgia" w:eastAsia="Times New Roman" w:hAnsi="Georgia" w:cs="Arial"/>
          <w:color w:val="000000"/>
          <w:sz w:val="24"/>
          <w:szCs w:val="24"/>
          <w:lang w:eastAsia="es-ES"/>
        </w:rPr>
      </w:pPr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 xml:space="preserve">Aunque los entornos culturales de cada uno fueran tan heterogéneos y </w:t>
      </w:r>
      <w:r w:rsidRPr="001774A0">
        <w:rPr>
          <w:rFonts w:ascii="Georgia" w:eastAsia="Times New Roman" w:hAnsi="Georgia" w:cs="Arial"/>
          <w:b/>
          <w:bCs/>
          <w:color w:val="000000"/>
          <w:sz w:val="24"/>
          <w:szCs w:val="24"/>
          <w:lang w:eastAsia="es-ES"/>
        </w:rPr>
        <w:t>la distancia física y política era a veces insalvable</w:t>
      </w:r>
      <w:r w:rsidRPr="001774A0">
        <w:rPr>
          <w:rFonts w:ascii="Georgia" w:eastAsia="Times New Roman" w:hAnsi="Georgia" w:cs="Arial"/>
          <w:color w:val="000000"/>
          <w:sz w:val="24"/>
          <w:szCs w:val="24"/>
          <w:lang w:eastAsia="es-ES"/>
        </w:rPr>
        <w:t>, el sentimiento de confusión y desamparo emocional los llevó a crear un arte que incluía materiales ajenos a la pintura, aplicaba la monocromía sin reparos y relacionaban el movimiento con lo estático de un lienzo.</w:t>
      </w:r>
    </w:p>
    <w:p w:rsidR="001774A0" w:rsidRDefault="001774A0"/>
    <w:sectPr w:rsidR="001774A0" w:rsidSect="002E41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BC603A"/>
    <w:multiLevelType w:val="multilevel"/>
    <w:tmpl w:val="130E7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4A0"/>
    <w:rsid w:val="00055646"/>
    <w:rsid w:val="000D750E"/>
    <w:rsid w:val="001774A0"/>
    <w:rsid w:val="002E410C"/>
    <w:rsid w:val="00340A00"/>
    <w:rsid w:val="008310C1"/>
    <w:rsid w:val="008F7D41"/>
    <w:rsid w:val="00D01E2C"/>
    <w:rsid w:val="00F54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10C"/>
  </w:style>
  <w:style w:type="paragraph" w:styleId="Ttulo3">
    <w:name w:val="heading 3"/>
    <w:basedOn w:val="Normal"/>
    <w:link w:val="Ttulo3Car"/>
    <w:uiPriority w:val="9"/>
    <w:qFormat/>
    <w:rsid w:val="001774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1774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1774A0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1774A0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1774A0"/>
    <w:rPr>
      <w:i/>
      <w:iCs/>
    </w:rPr>
  </w:style>
  <w:style w:type="character" w:styleId="Textoennegrita">
    <w:name w:val="Strong"/>
    <w:basedOn w:val="Fuentedeprrafopredeter"/>
    <w:uiPriority w:val="22"/>
    <w:qFormat/>
    <w:rsid w:val="001774A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77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7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74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0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3346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7678">
              <w:marLeft w:val="0"/>
              <w:marRight w:val="16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56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775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search?q=Jackson+Pollock&amp;hl=es&amp;client=firefox-a&amp;hs=qVI&amp;rls=org.mozilla:es-ES:official&amp;prmd=ivnso&amp;tbm=isch&amp;tbo=u&amp;source=univ&amp;sa=X&amp;ei=r6z2TYH8I4qisAOWxOzWBw&amp;ved=0CDsQsAQ&amp;biw=1582&amp;bih=68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undaciotapies.org/site/spip.php?rubrique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uggenheim-bilbao.es/secciones/programacion_artistica/nombre_exposicion_claves.php?idioma=es&amp;id_exposicion=140" TargetMode="External"/><Relationship Id="rId11" Type="http://schemas.openxmlformats.org/officeDocument/2006/relationships/hyperlink" Target="http://www.nga.gov/feature/rothko/rothkosplash.html" TargetMode="External"/><Relationship Id="rId5" Type="http://schemas.openxmlformats.org/officeDocument/2006/relationships/hyperlink" Target="http://www.guggenheim-bilbao.es/" TargetMode="External"/><Relationship Id="rId10" Type="http://schemas.openxmlformats.org/officeDocument/2006/relationships/hyperlink" Target="http://www.vasarely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s.wikipedia.org/wiki/Frank_Stella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386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Martínez Castelló</dc:creator>
  <cp:lastModifiedBy>Isabel Martínez Castelló</cp:lastModifiedBy>
  <cp:revision>1</cp:revision>
  <dcterms:created xsi:type="dcterms:W3CDTF">2011-06-14T08:14:00Z</dcterms:created>
  <dcterms:modified xsi:type="dcterms:W3CDTF">2011-06-14T08:27:00Z</dcterms:modified>
</cp:coreProperties>
</file>